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546C5D">
        <w:rPr>
          <w:rFonts w:ascii="Times New Roman" w:hAnsi="Times New Roman" w:cs="Times New Roman"/>
          <w:b/>
          <w:sz w:val="24"/>
          <w:szCs w:val="24"/>
        </w:rPr>
        <w:t xml:space="preserve"> (KY)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546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person who knowingly </w:t>
      </w:r>
      <w:r w:rsidR="00546C5D">
        <w:rPr>
          <w:rFonts w:ascii="Times New Roman" w:hAnsi="Times New Roman" w:cs="Times New Roman"/>
          <w:b/>
          <w:sz w:val="24"/>
          <w:szCs w:val="24"/>
        </w:rPr>
        <w:t>and with intent to defraud any insurance company or other person filed a statement of claim containing any materially false information or conceals, for the purpose of misleading, information concerning any fact material thereto commits a fraudulent insurance act, which is a crime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8156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46C5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A14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2018-01-29T21:20:00Z</dcterms:created>
  <dcterms:modified xsi:type="dcterms:W3CDTF">2018-01-29T21:21:00Z</dcterms:modified>
</cp:coreProperties>
</file>